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16432" w14:textId="77777777" w:rsidR="00924598" w:rsidRDefault="00924598" w:rsidP="006629DE">
      <w:pPr>
        <w:pStyle w:val="Default"/>
        <w:numPr>
          <w:ilvl w:val="0"/>
          <w:numId w:val="4"/>
        </w:numPr>
        <w:spacing w:before="24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Biodiscovery makes a valuable contribution to the State’s economy through innovative research and the commercialisation of research products using native biological material.</w:t>
      </w:r>
    </w:p>
    <w:p w14:paraId="7EBDB36B" w14:textId="77777777" w:rsidR="00B96178" w:rsidRDefault="004C43FD" w:rsidP="006629DE">
      <w:pPr>
        <w:pStyle w:val="Default"/>
        <w:numPr>
          <w:ilvl w:val="0"/>
          <w:numId w:val="4"/>
        </w:numPr>
        <w:spacing w:before="24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B96178" w:rsidRPr="007E7CA4">
        <w:rPr>
          <w:i/>
          <w:sz w:val="22"/>
          <w:szCs w:val="22"/>
        </w:rPr>
        <w:t>Biodiscovery Act 2004</w:t>
      </w:r>
      <w:r w:rsidR="00B96178">
        <w:rPr>
          <w:sz w:val="22"/>
          <w:szCs w:val="22"/>
        </w:rPr>
        <w:t xml:space="preserve"> (the Act) </w:t>
      </w:r>
      <w:r w:rsidR="00924598">
        <w:rPr>
          <w:sz w:val="22"/>
          <w:szCs w:val="22"/>
        </w:rPr>
        <w:t xml:space="preserve">regulates </w:t>
      </w:r>
      <w:r w:rsidR="00B96178">
        <w:rPr>
          <w:sz w:val="22"/>
          <w:szCs w:val="22"/>
        </w:rPr>
        <w:t xml:space="preserve">the take and use of native biological resources from State land or Queensland waters for </w:t>
      </w:r>
      <w:r w:rsidR="00041A6C">
        <w:rPr>
          <w:sz w:val="22"/>
          <w:szCs w:val="22"/>
        </w:rPr>
        <w:t xml:space="preserve">biodiscovery </w:t>
      </w:r>
      <w:r w:rsidR="00924598">
        <w:rPr>
          <w:sz w:val="22"/>
          <w:szCs w:val="22"/>
        </w:rPr>
        <w:t xml:space="preserve">research and </w:t>
      </w:r>
      <w:r w:rsidR="00DC4250">
        <w:rPr>
          <w:sz w:val="22"/>
          <w:szCs w:val="22"/>
        </w:rPr>
        <w:t>commercialisation</w:t>
      </w:r>
      <w:r w:rsidR="00B96178">
        <w:rPr>
          <w:sz w:val="22"/>
          <w:szCs w:val="22"/>
        </w:rPr>
        <w:t>.</w:t>
      </w:r>
    </w:p>
    <w:p w14:paraId="4E99073B" w14:textId="77777777" w:rsidR="00C36D09" w:rsidRDefault="00A7779E" w:rsidP="006629DE">
      <w:pPr>
        <w:pStyle w:val="Default"/>
        <w:numPr>
          <w:ilvl w:val="0"/>
          <w:numId w:val="4"/>
        </w:numPr>
        <w:spacing w:before="240"/>
        <w:ind w:left="360"/>
        <w:jc w:val="both"/>
        <w:rPr>
          <w:sz w:val="22"/>
          <w:szCs w:val="22"/>
        </w:rPr>
      </w:pPr>
      <w:r w:rsidRPr="00597010">
        <w:rPr>
          <w:sz w:val="22"/>
          <w:szCs w:val="22"/>
        </w:rPr>
        <w:t>Since the Act</w:t>
      </w:r>
      <w:r w:rsidR="00924598">
        <w:rPr>
          <w:sz w:val="22"/>
          <w:szCs w:val="22"/>
        </w:rPr>
        <w:t>’s commencement</w:t>
      </w:r>
      <w:r w:rsidRPr="00597010">
        <w:rPr>
          <w:sz w:val="22"/>
          <w:szCs w:val="22"/>
        </w:rPr>
        <w:t xml:space="preserve">, </w:t>
      </w:r>
      <w:r w:rsidR="009354A8">
        <w:rPr>
          <w:sz w:val="22"/>
          <w:szCs w:val="22"/>
        </w:rPr>
        <w:t>the</w:t>
      </w:r>
      <w:r w:rsidR="00924598">
        <w:rPr>
          <w:sz w:val="22"/>
          <w:szCs w:val="22"/>
        </w:rPr>
        <w:t xml:space="preserve"> biodiscovery industry</w:t>
      </w:r>
      <w:r w:rsidRPr="00597010">
        <w:rPr>
          <w:sz w:val="22"/>
          <w:szCs w:val="22"/>
        </w:rPr>
        <w:t xml:space="preserve"> </w:t>
      </w:r>
      <w:r w:rsidR="00924598">
        <w:rPr>
          <w:sz w:val="22"/>
          <w:szCs w:val="22"/>
        </w:rPr>
        <w:t>and</w:t>
      </w:r>
      <w:r w:rsidRPr="00597010">
        <w:rPr>
          <w:sz w:val="22"/>
          <w:szCs w:val="22"/>
        </w:rPr>
        <w:t xml:space="preserve"> international protocols </w:t>
      </w:r>
      <w:r w:rsidR="00924598">
        <w:rPr>
          <w:sz w:val="22"/>
          <w:szCs w:val="22"/>
        </w:rPr>
        <w:t xml:space="preserve">for access and benefit sharing </w:t>
      </w:r>
      <w:r w:rsidR="00DC4250">
        <w:rPr>
          <w:sz w:val="22"/>
          <w:szCs w:val="22"/>
        </w:rPr>
        <w:t>arising from biodiscovery</w:t>
      </w:r>
      <w:r w:rsidR="00924598">
        <w:rPr>
          <w:sz w:val="22"/>
          <w:szCs w:val="22"/>
        </w:rPr>
        <w:t xml:space="preserve"> have</w:t>
      </w:r>
      <w:r w:rsidR="00924598" w:rsidRPr="00597010">
        <w:rPr>
          <w:sz w:val="22"/>
          <w:szCs w:val="22"/>
        </w:rPr>
        <w:t xml:space="preserve"> </w:t>
      </w:r>
      <w:r w:rsidR="00924598">
        <w:rPr>
          <w:sz w:val="22"/>
          <w:szCs w:val="22"/>
        </w:rPr>
        <w:t>evolved</w:t>
      </w:r>
      <w:r w:rsidR="00B96178" w:rsidRPr="00597010">
        <w:rPr>
          <w:sz w:val="22"/>
          <w:szCs w:val="22"/>
        </w:rPr>
        <w:t>.</w:t>
      </w:r>
      <w:r w:rsidR="00597010" w:rsidRPr="00597010">
        <w:rPr>
          <w:sz w:val="22"/>
          <w:szCs w:val="22"/>
        </w:rPr>
        <w:t xml:space="preserve"> </w:t>
      </w:r>
      <w:r w:rsidR="00DC4250">
        <w:rPr>
          <w:sz w:val="22"/>
          <w:szCs w:val="22"/>
        </w:rPr>
        <w:t xml:space="preserve"> </w:t>
      </w:r>
    </w:p>
    <w:p w14:paraId="5FB749E8" w14:textId="77777777" w:rsidR="00DC4250" w:rsidRDefault="009354A8" w:rsidP="006629DE">
      <w:pPr>
        <w:pStyle w:val="Default"/>
        <w:numPr>
          <w:ilvl w:val="0"/>
          <w:numId w:val="4"/>
        </w:numPr>
        <w:spacing w:before="24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Following a statutory review of the Act in 2016, the</w:t>
      </w:r>
      <w:r w:rsidR="00DC4250">
        <w:rPr>
          <w:sz w:val="22"/>
          <w:szCs w:val="22"/>
        </w:rPr>
        <w:t xml:space="preserve"> Queensland Government committed to </w:t>
      </w:r>
      <w:r w:rsidR="00C36D09">
        <w:rPr>
          <w:sz w:val="22"/>
          <w:szCs w:val="22"/>
        </w:rPr>
        <w:t xml:space="preserve">reforming </w:t>
      </w:r>
      <w:r w:rsidR="005371DB">
        <w:rPr>
          <w:sz w:val="22"/>
          <w:szCs w:val="22"/>
        </w:rPr>
        <w:t>Queensland’s regulatory</w:t>
      </w:r>
      <w:r w:rsidR="00C36D09">
        <w:rPr>
          <w:sz w:val="22"/>
          <w:szCs w:val="22"/>
        </w:rPr>
        <w:t xml:space="preserve"> framework to </w:t>
      </w:r>
      <w:r w:rsidR="005371DB">
        <w:rPr>
          <w:sz w:val="22"/>
          <w:szCs w:val="22"/>
        </w:rPr>
        <w:t xml:space="preserve">reflect international protocols and </w:t>
      </w:r>
      <w:r>
        <w:rPr>
          <w:sz w:val="22"/>
          <w:szCs w:val="22"/>
        </w:rPr>
        <w:t xml:space="preserve">ensure </w:t>
      </w:r>
      <w:r w:rsidR="005371DB">
        <w:rPr>
          <w:sz w:val="22"/>
          <w:szCs w:val="22"/>
        </w:rPr>
        <w:t>Queensland b</w:t>
      </w:r>
      <w:r w:rsidR="005371DB" w:rsidRPr="00A7779E">
        <w:rPr>
          <w:sz w:val="22"/>
          <w:szCs w:val="22"/>
        </w:rPr>
        <w:t xml:space="preserve">iodiscovery </w:t>
      </w:r>
      <w:r w:rsidR="005371DB">
        <w:rPr>
          <w:sz w:val="22"/>
          <w:szCs w:val="22"/>
        </w:rPr>
        <w:t xml:space="preserve">entities </w:t>
      </w:r>
      <w:r>
        <w:rPr>
          <w:sz w:val="22"/>
          <w:szCs w:val="22"/>
        </w:rPr>
        <w:t>remain globally competitive</w:t>
      </w:r>
      <w:r w:rsidR="00DC4250">
        <w:rPr>
          <w:sz w:val="22"/>
          <w:szCs w:val="22"/>
        </w:rPr>
        <w:t>.</w:t>
      </w:r>
    </w:p>
    <w:p w14:paraId="159B4391" w14:textId="6513997B" w:rsidR="00597010" w:rsidRDefault="00822C3F" w:rsidP="006629DE">
      <w:pPr>
        <w:pStyle w:val="Default"/>
        <w:numPr>
          <w:ilvl w:val="0"/>
          <w:numId w:val="4"/>
        </w:numPr>
        <w:spacing w:before="24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Biodiscovery </w:t>
      </w:r>
      <w:r w:rsidR="00D450E9">
        <w:rPr>
          <w:sz w:val="22"/>
          <w:szCs w:val="22"/>
        </w:rPr>
        <w:t xml:space="preserve">and Other Legislation </w:t>
      </w:r>
      <w:r>
        <w:rPr>
          <w:sz w:val="22"/>
          <w:szCs w:val="22"/>
        </w:rPr>
        <w:t>Amendment Bill 2019</w:t>
      </w:r>
      <w:r w:rsidR="00C36D09">
        <w:rPr>
          <w:sz w:val="22"/>
          <w:szCs w:val="22"/>
        </w:rPr>
        <w:t xml:space="preserve"> </w:t>
      </w:r>
      <w:r w:rsidR="00041A6C">
        <w:rPr>
          <w:sz w:val="22"/>
          <w:szCs w:val="22"/>
        </w:rPr>
        <w:t>ensure</w:t>
      </w:r>
      <w:r w:rsidR="001C5F69">
        <w:rPr>
          <w:sz w:val="22"/>
          <w:szCs w:val="22"/>
        </w:rPr>
        <w:t>s</w:t>
      </w:r>
      <w:r w:rsidR="00041A6C">
        <w:rPr>
          <w:sz w:val="22"/>
          <w:szCs w:val="22"/>
        </w:rPr>
        <w:t xml:space="preserve"> </w:t>
      </w:r>
      <w:r w:rsidR="00597010">
        <w:rPr>
          <w:sz w:val="22"/>
          <w:szCs w:val="22"/>
        </w:rPr>
        <w:t xml:space="preserve">First Nations peoples </w:t>
      </w:r>
      <w:r w:rsidR="00DC4250">
        <w:rPr>
          <w:sz w:val="22"/>
          <w:szCs w:val="22"/>
        </w:rPr>
        <w:t>who</w:t>
      </w:r>
      <w:r w:rsidR="00597010">
        <w:rPr>
          <w:sz w:val="22"/>
          <w:szCs w:val="22"/>
        </w:rPr>
        <w:t xml:space="preserve"> participate in biodiscovery</w:t>
      </w:r>
      <w:r w:rsidR="00DC4250">
        <w:rPr>
          <w:sz w:val="22"/>
          <w:szCs w:val="22"/>
        </w:rPr>
        <w:t xml:space="preserve"> through the use of their traditional knowledge</w:t>
      </w:r>
      <w:r w:rsidR="00597010">
        <w:rPr>
          <w:sz w:val="22"/>
          <w:szCs w:val="22"/>
        </w:rPr>
        <w:t xml:space="preserve"> </w:t>
      </w:r>
      <w:r w:rsidR="00DC4250">
        <w:rPr>
          <w:sz w:val="22"/>
          <w:szCs w:val="22"/>
        </w:rPr>
        <w:t xml:space="preserve">fairly and equitably </w:t>
      </w:r>
      <w:r w:rsidR="00597010">
        <w:rPr>
          <w:sz w:val="22"/>
          <w:szCs w:val="22"/>
        </w:rPr>
        <w:t xml:space="preserve">share </w:t>
      </w:r>
      <w:r w:rsidR="00DC4250">
        <w:rPr>
          <w:sz w:val="22"/>
          <w:szCs w:val="22"/>
        </w:rPr>
        <w:t xml:space="preserve">in </w:t>
      </w:r>
      <w:r w:rsidR="00597010">
        <w:rPr>
          <w:sz w:val="22"/>
          <w:szCs w:val="22"/>
        </w:rPr>
        <w:t xml:space="preserve">the benefits </w:t>
      </w:r>
      <w:r w:rsidR="009354A8">
        <w:rPr>
          <w:sz w:val="22"/>
          <w:szCs w:val="22"/>
        </w:rPr>
        <w:t>from biodiscovery activities</w:t>
      </w:r>
      <w:r w:rsidR="00C36D09">
        <w:rPr>
          <w:sz w:val="22"/>
          <w:szCs w:val="22"/>
        </w:rPr>
        <w:t xml:space="preserve"> in Queensland</w:t>
      </w:r>
      <w:r w:rsidR="00597010">
        <w:rPr>
          <w:sz w:val="22"/>
          <w:szCs w:val="22"/>
        </w:rPr>
        <w:t>.</w:t>
      </w:r>
    </w:p>
    <w:p w14:paraId="007BD5F1" w14:textId="42BB0BA3" w:rsidR="00B96178" w:rsidRPr="007E7CA4" w:rsidRDefault="00C36D09" w:rsidP="006629DE">
      <w:pPr>
        <w:pStyle w:val="Default"/>
        <w:numPr>
          <w:ilvl w:val="0"/>
          <w:numId w:val="4"/>
        </w:numPr>
        <w:spacing w:before="24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Biodiscovery administrative processes </w:t>
      </w:r>
      <w:r w:rsidR="009E7CF4">
        <w:rPr>
          <w:sz w:val="22"/>
          <w:szCs w:val="22"/>
        </w:rPr>
        <w:t xml:space="preserve">would </w:t>
      </w:r>
      <w:r>
        <w:rPr>
          <w:sz w:val="22"/>
          <w:szCs w:val="22"/>
        </w:rPr>
        <w:t>be streamlined through the removal of certain approval requirements and the interaction of Queensland’s framework with relevant international protocols clarified, to avoid confusion and unnecessary duplication of requirements for biodiscovery entities.</w:t>
      </w:r>
    </w:p>
    <w:p w14:paraId="29CB1DDF" w14:textId="77777777" w:rsidR="00B96178" w:rsidRDefault="00B96178" w:rsidP="006629DE">
      <w:pPr>
        <w:pStyle w:val="Default"/>
        <w:numPr>
          <w:ilvl w:val="0"/>
          <w:numId w:val="4"/>
        </w:numPr>
        <w:spacing w:before="240"/>
        <w:ind w:left="360"/>
        <w:jc w:val="both"/>
        <w:rPr>
          <w:sz w:val="22"/>
          <w:szCs w:val="22"/>
        </w:rPr>
      </w:pPr>
      <w:r w:rsidRPr="00366E7D">
        <w:rPr>
          <w:sz w:val="22"/>
          <w:szCs w:val="22"/>
          <w:u w:val="single"/>
        </w:rPr>
        <w:t>Cabinet approved</w:t>
      </w:r>
      <w:r>
        <w:rPr>
          <w:sz w:val="22"/>
          <w:szCs w:val="22"/>
        </w:rPr>
        <w:t xml:space="preserve"> </w:t>
      </w:r>
      <w:r w:rsidR="00822C3F">
        <w:rPr>
          <w:sz w:val="22"/>
          <w:szCs w:val="22"/>
        </w:rPr>
        <w:t xml:space="preserve">the introduction of the Biodiscovery </w:t>
      </w:r>
      <w:r w:rsidR="00D450E9">
        <w:rPr>
          <w:sz w:val="22"/>
          <w:szCs w:val="22"/>
        </w:rPr>
        <w:t xml:space="preserve">and Other Legislation </w:t>
      </w:r>
      <w:r w:rsidR="00822C3F">
        <w:rPr>
          <w:sz w:val="22"/>
          <w:szCs w:val="22"/>
        </w:rPr>
        <w:t>Amendment Bill 2019 into the Legislative Assemb</w:t>
      </w:r>
      <w:r w:rsidR="00D450E9">
        <w:rPr>
          <w:sz w:val="22"/>
          <w:szCs w:val="22"/>
        </w:rPr>
        <w:t>l</w:t>
      </w:r>
      <w:r w:rsidR="00822C3F">
        <w:rPr>
          <w:sz w:val="22"/>
          <w:szCs w:val="22"/>
        </w:rPr>
        <w:t>y</w:t>
      </w:r>
      <w:r>
        <w:rPr>
          <w:sz w:val="22"/>
          <w:szCs w:val="22"/>
        </w:rPr>
        <w:t>.</w:t>
      </w:r>
    </w:p>
    <w:p w14:paraId="7045CB01" w14:textId="57F127FF" w:rsidR="00B96178" w:rsidRPr="00E9153F" w:rsidRDefault="00B96178" w:rsidP="006629DE">
      <w:pPr>
        <w:pStyle w:val="Default"/>
        <w:numPr>
          <w:ilvl w:val="0"/>
          <w:numId w:val="4"/>
        </w:numPr>
        <w:spacing w:before="360"/>
        <w:ind w:left="360"/>
        <w:jc w:val="both"/>
        <w:rPr>
          <w:i/>
          <w:iCs/>
          <w:sz w:val="22"/>
          <w:szCs w:val="22"/>
          <w:u w:val="single"/>
        </w:rPr>
      </w:pPr>
      <w:r w:rsidRPr="00E9153F">
        <w:rPr>
          <w:i/>
          <w:iCs/>
          <w:sz w:val="22"/>
          <w:szCs w:val="22"/>
          <w:u w:val="single"/>
        </w:rPr>
        <w:t>Attachments</w:t>
      </w:r>
    </w:p>
    <w:p w14:paraId="4089C649" w14:textId="36730D3A" w:rsidR="00D368CB" w:rsidRPr="00D368CB" w:rsidRDefault="00536FA7" w:rsidP="006629DE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rPr>
          <w:rFonts w:ascii="Arial" w:eastAsiaTheme="minorHAnsi" w:hAnsi="Arial" w:cs="Arial"/>
          <w:i/>
          <w:sz w:val="22"/>
          <w:szCs w:val="22"/>
          <w:lang w:eastAsia="en-US"/>
        </w:rPr>
      </w:pPr>
      <w:hyperlink r:id="rId11" w:history="1">
        <w:r w:rsidR="00D368CB" w:rsidRPr="00CE3454">
          <w:rPr>
            <w:rStyle w:val="Hyperlink"/>
            <w:rFonts w:ascii="Arial" w:hAnsi="Arial" w:cs="Arial"/>
            <w:sz w:val="22"/>
            <w:szCs w:val="22"/>
          </w:rPr>
          <w:t>Biodiscovery and Other Legislation Amendment Bill 2019</w:t>
        </w:r>
      </w:hyperlink>
    </w:p>
    <w:p w14:paraId="14F0974F" w14:textId="237F6A35" w:rsidR="00B96178" w:rsidRPr="00E752A7" w:rsidRDefault="00536FA7" w:rsidP="006629DE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rPr>
          <w:rFonts w:ascii="Arial" w:eastAsiaTheme="minorHAnsi" w:hAnsi="Arial" w:cs="Arial"/>
          <w:i/>
          <w:sz w:val="22"/>
          <w:szCs w:val="22"/>
          <w:lang w:eastAsia="en-US"/>
        </w:rPr>
      </w:pPr>
      <w:hyperlink r:id="rId12" w:history="1">
        <w:r w:rsidR="00822C3F" w:rsidRPr="00CE3454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B96178" w:rsidRPr="00E752A7" w:rsidSect="00547EA2">
      <w:head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06C77" w14:textId="77777777" w:rsidR="00CE3454" w:rsidRDefault="00CE3454" w:rsidP="00D6589B">
      <w:r>
        <w:separator/>
      </w:r>
    </w:p>
  </w:endnote>
  <w:endnote w:type="continuationSeparator" w:id="0">
    <w:p w14:paraId="7C6D966C" w14:textId="77777777" w:rsidR="00CE3454" w:rsidRDefault="00CE3454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F56D7" w14:textId="77777777" w:rsidR="00CE3454" w:rsidRDefault="00CE3454" w:rsidP="00D6589B">
      <w:r>
        <w:separator/>
      </w:r>
    </w:p>
  </w:footnote>
  <w:footnote w:type="continuationSeparator" w:id="0">
    <w:p w14:paraId="58529B23" w14:textId="77777777" w:rsidR="00CE3454" w:rsidRDefault="00CE3454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D0820" w14:textId="77777777" w:rsidR="00CE3454" w:rsidRPr="00937A4A" w:rsidRDefault="00CE3454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2D6D82AD" w14:textId="77777777" w:rsidR="00CE3454" w:rsidRPr="00937A4A" w:rsidRDefault="00CE3454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5D3AF286" w14:textId="77777777" w:rsidR="00CE3454" w:rsidRPr="00937A4A" w:rsidRDefault="00CE3454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November 2019</w:t>
    </w:r>
  </w:p>
  <w:p w14:paraId="3976EA0D" w14:textId="77777777" w:rsidR="00CE3454" w:rsidRPr="0019778F" w:rsidRDefault="00CE3454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19778F">
      <w:rPr>
        <w:rFonts w:ascii="Arial" w:hAnsi="Arial" w:cs="Arial"/>
        <w:b/>
        <w:sz w:val="22"/>
        <w:szCs w:val="22"/>
        <w:u w:val="single"/>
      </w:rPr>
      <w:t xml:space="preserve">Biodiscovery </w:t>
    </w:r>
    <w:r>
      <w:rPr>
        <w:rFonts w:ascii="Arial" w:hAnsi="Arial" w:cs="Arial"/>
        <w:b/>
        <w:sz w:val="22"/>
        <w:szCs w:val="22"/>
        <w:u w:val="single"/>
      </w:rPr>
      <w:t xml:space="preserve">and Other Legislation Amendment </w:t>
    </w:r>
    <w:r w:rsidRPr="0019778F">
      <w:rPr>
        <w:rFonts w:ascii="Arial" w:hAnsi="Arial" w:cs="Arial"/>
        <w:b/>
        <w:sz w:val="22"/>
        <w:szCs w:val="22"/>
        <w:u w:val="single"/>
      </w:rPr>
      <w:t>Bill 2019</w:t>
    </w:r>
  </w:p>
  <w:p w14:paraId="21FDD9BA" w14:textId="77777777" w:rsidR="00CE3454" w:rsidRPr="00B96178" w:rsidRDefault="00CE3454" w:rsidP="006629DE">
    <w:pPr>
      <w:pStyle w:val="Heading2"/>
      <w:spacing w:before="120"/>
      <w:jc w:val="left"/>
      <w:rPr>
        <w:rFonts w:ascii="Arial" w:hAnsi="Arial" w:cs="Arial"/>
        <w:b w:val="0"/>
        <w:sz w:val="22"/>
        <w:szCs w:val="22"/>
        <w:u w:val="single"/>
      </w:rPr>
    </w:pPr>
    <w:r w:rsidRPr="00B96178">
      <w:rPr>
        <w:rFonts w:ascii="Arial" w:hAnsi="Arial" w:cs="Arial"/>
        <w:sz w:val="22"/>
        <w:szCs w:val="22"/>
        <w:u w:val="single"/>
      </w:rPr>
      <w:t xml:space="preserve">Minister </w:t>
    </w:r>
    <w:r w:rsidRPr="00B96178">
      <w:rPr>
        <w:rFonts w:ascii="Arial" w:hAnsi="Arial" w:cs="Arial"/>
        <w:color w:val="000000"/>
        <w:sz w:val="22"/>
        <w:szCs w:val="22"/>
        <w:u w:val="single"/>
        <w:lang w:eastAsia="en-AU"/>
      </w:rPr>
      <w:t>for Environment and the Great Barrier Reef, Minister for Science and Minister for the Arts</w:t>
    </w:r>
  </w:p>
  <w:p w14:paraId="229688B8" w14:textId="77777777" w:rsidR="00CE3454" w:rsidRDefault="00CE3454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C01EC"/>
    <w:multiLevelType w:val="hybridMultilevel"/>
    <w:tmpl w:val="BB7E68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C437D"/>
    <w:multiLevelType w:val="multilevel"/>
    <w:tmpl w:val="431CF884"/>
    <w:lvl w:ilvl="0">
      <w:start w:val="1"/>
      <w:numFmt w:val="bullet"/>
      <w:lvlText w:val=""/>
      <w:lvlJc w:val="left"/>
      <w:pPr>
        <w:tabs>
          <w:tab w:val="num" w:pos="-354"/>
        </w:tabs>
        <w:ind w:left="-354" w:hanging="360"/>
      </w:pPr>
      <w:rPr>
        <w:rFonts w:ascii="Symbol" w:hAnsi="Symbol" w:hint="default"/>
        <w:sz w:val="36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366"/>
        </w:tabs>
        <w:ind w:left="3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6"/>
        </w:tabs>
        <w:ind w:left="10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6"/>
        </w:tabs>
        <w:ind w:left="32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6"/>
        </w:tabs>
        <w:ind w:left="5406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C1F6B"/>
    <w:multiLevelType w:val="hybridMultilevel"/>
    <w:tmpl w:val="0D46BB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DCA"/>
    <w:rsid w:val="00041A6C"/>
    <w:rsid w:val="00080F8F"/>
    <w:rsid w:val="000C3E10"/>
    <w:rsid w:val="0010384C"/>
    <w:rsid w:val="00152095"/>
    <w:rsid w:val="00174117"/>
    <w:rsid w:val="001765B8"/>
    <w:rsid w:val="0019778F"/>
    <w:rsid w:val="001A2140"/>
    <w:rsid w:val="001C5F69"/>
    <w:rsid w:val="00280DCA"/>
    <w:rsid w:val="002B3B0E"/>
    <w:rsid w:val="0030743C"/>
    <w:rsid w:val="0034156D"/>
    <w:rsid w:val="003A3BDD"/>
    <w:rsid w:val="0043543B"/>
    <w:rsid w:val="004C43FD"/>
    <w:rsid w:val="00501C66"/>
    <w:rsid w:val="00536FA7"/>
    <w:rsid w:val="005371DB"/>
    <w:rsid w:val="00547EA2"/>
    <w:rsid w:val="00550873"/>
    <w:rsid w:val="00597010"/>
    <w:rsid w:val="006629DE"/>
    <w:rsid w:val="007265D0"/>
    <w:rsid w:val="00732E22"/>
    <w:rsid w:val="00741C20"/>
    <w:rsid w:val="007F44F4"/>
    <w:rsid w:val="00822C3F"/>
    <w:rsid w:val="008D57F0"/>
    <w:rsid w:val="00904077"/>
    <w:rsid w:val="00924598"/>
    <w:rsid w:val="009354A8"/>
    <w:rsid w:val="00937A4A"/>
    <w:rsid w:val="009E7CF4"/>
    <w:rsid w:val="00A7586B"/>
    <w:rsid w:val="00A7779E"/>
    <w:rsid w:val="00B8067D"/>
    <w:rsid w:val="00B95A06"/>
    <w:rsid w:val="00B96178"/>
    <w:rsid w:val="00C36D09"/>
    <w:rsid w:val="00C66E77"/>
    <w:rsid w:val="00C75E67"/>
    <w:rsid w:val="00C84F7F"/>
    <w:rsid w:val="00CB1501"/>
    <w:rsid w:val="00CD7A50"/>
    <w:rsid w:val="00CE3454"/>
    <w:rsid w:val="00CF0D8A"/>
    <w:rsid w:val="00D368CB"/>
    <w:rsid w:val="00D450E9"/>
    <w:rsid w:val="00D6589B"/>
    <w:rsid w:val="00D94D63"/>
    <w:rsid w:val="00DC13D9"/>
    <w:rsid w:val="00DC4250"/>
    <w:rsid w:val="00E752A7"/>
    <w:rsid w:val="00E9153F"/>
    <w:rsid w:val="00F0602A"/>
    <w:rsid w:val="00F24A8A"/>
    <w:rsid w:val="00F45B99"/>
    <w:rsid w:val="00F94D48"/>
    <w:rsid w:val="00FE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056C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paragraph" w:styleId="Heading2">
    <w:name w:val="heading 2"/>
    <w:basedOn w:val="Normal"/>
    <w:next w:val="Normal"/>
    <w:link w:val="Heading2Char"/>
    <w:qFormat/>
    <w:rsid w:val="000C3E10"/>
    <w:pPr>
      <w:keepNext/>
      <w:jc w:val="right"/>
      <w:outlineLvl w:val="1"/>
    </w:pPr>
    <w:rPr>
      <w:b/>
      <w:color w:val="auto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C3E10"/>
    <w:rPr>
      <w:rFonts w:ascii="Times New Roman" w:eastAsia="Times New Roman" w:hAnsi="Times New Roman"/>
      <w:b/>
      <w:sz w:val="24"/>
      <w:lang w:eastAsia="en-US"/>
    </w:rPr>
  </w:style>
  <w:style w:type="paragraph" w:styleId="Title">
    <w:name w:val="Title"/>
    <w:basedOn w:val="Normal"/>
    <w:link w:val="TitleChar"/>
    <w:qFormat/>
    <w:rsid w:val="000C3E10"/>
    <w:pPr>
      <w:jc w:val="center"/>
    </w:pPr>
    <w:rPr>
      <w:color w:val="auto"/>
      <w:lang w:eastAsia="en-US"/>
    </w:rPr>
  </w:style>
  <w:style w:type="character" w:customStyle="1" w:styleId="TitleChar">
    <w:name w:val="Title Char"/>
    <w:basedOn w:val="DefaultParagraphFont"/>
    <w:link w:val="Title"/>
    <w:rsid w:val="000C3E10"/>
    <w:rPr>
      <w:rFonts w:ascii="Times New Roman" w:eastAsia="Times New Roman" w:hAnsi="Times New Roman"/>
      <w:sz w:val="24"/>
      <w:lang w:eastAsia="en-US"/>
    </w:rPr>
  </w:style>
  <w:style w:type="paragraph" w:customStyle="1" w:styleId="Default">
    <w:name w:val="Default"/>
    <w:rsid w:val="00B961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96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34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ttachments/ExNotes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Bill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SharePoint\Word%20Templates%20-%20Documents\DPC\Cabinet%20Submission%20-%20Attachmen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020E9D-F6F3-4B9D-AC9E-611E024912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5FD4AB-5B3D-40FC-B02D-3D2DD9397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ADAFE8-8EBC-4A19-8F84-1DB5AA4F2A9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63e311de-a790-43ff-be63-577c26c7507c"/>
    <ds:schemaRef ds:uri="b8ed82f2-f7bd-423c-8698-5e132afe9245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Cabinet Submission - Attachment - Proactive Release Summary.dotx</Template>
  <TotalTime>37</TotalTime>
  <Pages>1</Pages>
  <Words>203</Words>
  <Characters>1337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1534</CharactersWithSpaces>
  <SharedDoc>false</SharedDoc>
  <HyperlinkBase>https://www.cabinet.qld.gov.au/documents/2019/Nov/BioBill/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creator/>
  <cp:lastModifiedBy/>
  <cp:revision>17</cp:revision>
  <dcterms:created xsi:type="dcterms:W3CDTF">2019-09-19T23:00:00Z</dcterms:created>
  <dcterms:modified xsi:type="dcterms:W3CDTF">2020-08-11T02:44:00Z</dcterms:modified>
  <cp:category>Legislation,Aboriginal_and_Torres_Strait_Islander,Indigenous,Environment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